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7" w:lineRule="exact"/>
        <w:jc w:val="center"/>
        <w:rPr>
          <w:rFonts w:ascii="Times New Roman" w:hAnsi="Times New Roman" w:eastAsia="方正小标宋简体" w:cs="Times New Roman"/>
          <w:sz w:val="44"/>
          <w:szCs w:val="44"/>
        </w:rPr>
      </w:pP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bookmarkStart w:id="0" w:name="_GoBack"/>
      <w:bookmarkEnd w:id="0"/>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640" w:firstLineChars="200"/>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w:t>
      </w:r>
    </w:p>
    <w:p/>
    <w:sectPr>
      <w:type w:val="continuous"/>
      <w:pgSz w:w="11906" w:h="16838"/>
      <w:pgMar w:top="2098" w:right="1531" w:bottom="1984" w:left="1531"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2026-02-05T08:01:00Z</dcterms:created>
  <dc:creator>钱磊</dc:creator>
  <cp:lastModifiedBy>Administrator</cp:lastModifiedBy>
  <dcterms:modified xsi:type="dcterms:W3CDTF">2026-02-10T06:14:27Z</dcterms:modified>
  <dc:title>“清朗网络空间，共筑禁毒防线”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y fmtid="{D5CDD505-2E9C-101B-9397-08002B2CF9AE}" pid="3" name="ICV">
    <vt:lpwstr>A4BB28358D394035B00691B42A4D2C7E</vt:lpwstr>
  </property>
</Properties>
</file>